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jc w:val="left"/>
        <w:rPr>
          <w:rFonts w:ascii="黑体" w:hAnsi="黑体" w:eastAsia="黑体" w:cs="Times New Roman"/>
          <w:sz w:val="28"/>
          <w:szCs w:val="28"/>
        </w:rPr>
      </w:pPr>
      <w:r>
        <w:rPr>
          <w:rFonts w:ascii="黑体" w:hAnsi="黑体" w:eastAsia="黑体" w:cs="Times New Roman"/>
          <w:sz w:val="28"/>
          <w:szCs w:val="28"/>
        </w:rPr>
        <w:t>附件</w:t>
      </w:r>
      <w:r>
        <w:rPr>
          <w:rFonts w:hint="eastAsia" w:ascii="黑体" w:hAnsi="黑体" w:eastAsia="黑体" w:cs="Times New Roman"/>
          <w:sz w:val="28"/>
          <w:szCs w:val="28"/>
        </w:rPr>
        <w:t>1</w:t>
      </w:r>
    </w:p>
    <w:p>
      <w:pPr>
        <w:pStyle w:val="15"/>
        <w:adjustRightInd w:val="0"/>
        <w:snapToGrid w:val="0"/>
        <w:spacing w:line="540" w:lineRule="exact"/>
        <w:ind w:left="360" w:firstLine="0" w:firstLineChars="0"/>
        <w:jc w:val="center"/>
        <w:rPr>
          <w:rFonts w:ascii="方正小标宋简体" w:hAnsi="方正小标宋简体" w:eastAsia="方正小标宋简体" w:cs="Times New Roman"/>
          <w:sz w:val="36"/>
          <w:szCs w:val="36"/>
        </w:rPr>
      </w:pPr>
    </w:p>
    <w:p>
      <w:pPr>
        <w:pStyle w:val="15"/>
        <w:adjustRightInd w:val="0"/>
        <w:snapToGrid w:val="0"/>
        <w:spacing w:line="540" w:lineRule="exact"/>
        <w:ind w:left="360" w:firstLine="0" w:firstLineChars="0"/>
        <w:jc w:val="center"/>
        <w:rPr>
          <w:rFonts w:ascii="方正小标宋简体" w:hAnsi="方正小标宋简体" w:eastAsia="方正小标宋简体" w:cs="Times New Roman"/>
          <w:sz w:val="36"/>
          <w:szCs w:val="36"/>
        </w:rPr>
      </w:pPr>
      <w:r>
        <w:rPr>
          <w:rFonts w:ascii="方正小标宋简体" w:hAnsi="方正小标宋简体" w:eastAsia="方正小标宋简体" w:cs="Times New Roman"/>
          <w:sz w:val="36"/>
          <w:szCs w:val="36"/>
        </w:rPr>
        <w:t>杰出贡献奖获得者基本情况</w:t>
      </w:r>
    </w:p>
    <w:p>
      <w:pPr>
        <w:adjustRightInd w:val="0"/>
        <w:snapToGrid w:val="0"/>
        <w:spacing w:line="540" w:lineRule="exact"/>
        <w:jc w:val="center"/>
        <w:rPr>
          <w:rFonts w:ascii="方正小标宋简体" w:hAnsi="方正小标宋简体" w:eastAsia="方正小标宋简体" w:cs="Times New Roman"/>
          <w:sz w:val="36"/>
          <w:szCs w:val="36"/>
        </w:rPr>
      </w:pPr>
      <w:r>
        <w:rPr>
          <w:rFonts w:ascii="方正小标宋简体" w:hAnsi="方正小标宋简体" w:eastAsia="方正小标宋简体" w:cs="Times New Roman"/>
          <w:sz w:val="36"/>
          <w:szCs w:val="36"/>
        </w:rPr>
        <w:t>（按姓氏拼音排序）</w:t>
      </w:r>
    </w:p>
    <w:p>
      <w:pPr>
        <w:pStyle w:val="3"/>
        <w:adjustRightInd w:val="0"/>
        <w:snapToGrid w:val="0"/>
        <w:spacing w:line="540" w:lineRule="exact"/>
        <w:rPr>
          <w:rFonts w:ascii="Times New Roman" w:hAnsi="Times New Roman" w:eastAsia="黑体"/>
          <w:b/>
          <w:snapToGrid w:val="0"/>
          <w:kern w:val="32"/>
          <w:sz w:val="32"/>
        </w:rPr>
      </w:pPr>
      <w:r>
        <w:rPr>
          <w:rFonts w:ascii="Times New Roman" w:hAnsi="Times New Roman" w:eastAsia="黑体"/>
          <w:b/>
          <w:snapToGrid w:val="0"/>
          <w:kern w:val="32"/>
          <w:sz w:val="32"/>
        </w:rPr>
        <w:t xml:space="preserve">1. </w:t>
      </w:r>
      <w:r>
        <w:rPr>
          <w:rFonts w:hint="eastAsia" w:ascii="Times New Roman" w:hAnsi="Times New Roman" w:eastAsia="黑体"/>
          <w:b/>
          <w:snapToGrid w:val="0"/>
          <w:kern w:val="32"/>
          <w:sz w:val="32"/>
        </w:rPr>
        <w:t>高达利</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高达利，男，1980年7月生，博士，现在中石化(北京)化工研究院有限公司工作，研究员，材料加工工程专业。</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高达利长期致力于可降解材料、电子/医用/功能膜等高端树脂、高性能复合材料等领域的基础研究和技术开发。带领团队聚焦大分子链化学组成和空间拓扑结构与材料性能关系、多场耦合下聚集态结构调控机理及复合材料界面作用机制等方面的研究，建立了取向加工等多个新材料研发平台，攻克了可降解材料降解性能调控难度大、聚乙烯拉伸成膜过程中分子链松弛与晶体取向相矛盾、纤维增强复合材料高浸润与功能化无法兼顾等技术难题；首创了Z-N催化剂双向拉伸聚乙烯（BOPE）薄膜专用料及其高强度薄膜、新型多层特殊结构复合纤维增强材料生产技术及关键装备，开发了可降解PBST/PGA系列制品、医用特种高强度透气膜、功能化长纤维增强PP/PA改性材料等，实现了多项技术的工业化应用和技术许可。</w:t>
      </w:r>
    </w:p>
    <w:p>
      <w:pPr>
        <w:pStyle w:val="3"/>
        <w:adjustRightInd w:val="0"/>
        <w:snapToGrid w:val="0"/>
        <w:spacing w:line="540" w:lineRule="exact"/>
        <w:ind w:firstLine="640" w:firstLineChars="200"/>
        <w:rPr>
          <w:rFonts w:ascii="Times New Roman" w:hAnsi="Times New Roman" w:cs="Times New Roman"/>
          <w:b/>
          <w:snapToGrid w:val="0"/>
          <w:kern w:val="32"/>
          <w:sz w:val="32"/>
          <w:szCs w:val="22"/>
        </w:rPr>
      </w:pPr>
      <w:r>
        <w:rPr>
          <w:rFonts w:hint="eastAsia" w:hAnsi="Times New Roman" w:cs="Times New Roman"/>
          <w:snapToGrid w:val="0"/>
          <w:kern w:val="32"/>
          <w:sz w:val="32"/>
          <w:szCs w:val="22"/>
        </w:rPr>
        <w:t>主持或参与国家重点研发计划课题3项、国家自然基金1项、2030国家科技重大专项1项、中石化重大项目3项、国际合作项目1项；获省部级科技奖15项（含中石化科技进步特等奖2项）；获中国授权专利151件，国外授权专利12件；发表SCI、EI及核心期刊论文101篇；参编制定国家标准1项；曾获中石化“闵恩泽青年科技人才奖”等。</w:t>
      </w:r>
    </w:p>
    <w:p>
      <w:pPr>
        <w:pStyle w:val="3"/>
        <w:adjustRightInd w:val="0"/>
        <w:snapToGrid w:val="0"/>
        <w:spacing w:line="540" w:lineRule="exact"/>
        <w:rPr>
          <w:rFonts w:ascii="Times New Roman" w:hAnsi="Times New Roman" w:eastAsia="黑体"/>
          <w:b/>
          <w:snapToGrid w:val="0"/>
          <w:kern w:val="32"/>
          <w:sz w:val="32"/>
        </w:rPr>
      </w:pPr>
      <w:r>
        <w:rPr>
          <w:rFonts w:ascii="Times New Roman" w:hAnsi="Times New Roman" w:eastAsia="黑体"/>
          <w:b/>
          <w:snapToGrid w:val="0"/>
          <w:kern w:val="32"/>
          <w:sz w:val="32"/>
        </w:rPr>
        <w:t xml:space="preserve">2. </w:t>
      </w:r>
      <w:r>
        <w:rPr>
          <w:rFonts w:hint="eastAsia" w:ascii="Times New Roman" w:hAnsi="Times New Roman" w:eastAsia="黑体"/>
          <w:b/>
          <w:snapToGrid w:val="0"/>
          <w:kern w:val="32"/>
          <w:sz w:val="32"/>
        </w:rPr>
        <w:t>郭凯</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郭凯，男，1982年12月出生，博士，现在南京工业大学工作、二级教授，生物化工专业。</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郭凯长期致力于微化工技术和生物基材料开发，重点进行微化工工程化新技术和新装备研发、微化工系统集成研究、以及基于微化工技术的生物基材料产品工程体系构建。通过上述新技术、新装备、新产品研发，推动微化工技术从“芯片实验室”走向“桌面工厂”，通过与中国石化等企业合作，先后完成生物基聚氨酯、聚酯、聚酰胺、氨纶、增塑剂等高效固碳、性能优良的生物基材料累计40余万吨/年，以及乳液聚合物1万吨/年、己内酰胺1万吨/年、沥青添加剂1万吨/年、橡胶防焦剂3000吨/年、香豆素2000吨/年等多个精细化学品千吨-万吨/年转化。</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以第一完成人获国家技术发明二等奖1项、省部级科技一等奖4项，获何梁何利科技创新奖、Fen Xinde Polymer Prize （Elsevier）、青山奖等奖励，以第一发明人获授权中国专利209件、美英等国外专利18件，以通讯作者发表Prog. Polym. Sci.、Appl. Catal. B-Environ.、Matt.、Angew. Chem. Int. Ed.、Nat. Comun.等SCI论文236篇，获得教育部长江学者特聘教授、中组部万人计划科技创新领军人才等荣誉称号。</w:t>
      </w:r>
      <w:r>
        <w:rPr>
          <w:rFonts w:hAnsi="Times New Roman" w:cs="Times New Roman"/>
          <w:snapToGrid w:val="0"/>
          <w:kern w:val="32"/>
          <w:sz w:val="32"/>
          <w:szCs w:val="22"/>
        </w:rPr>
        <w:t xml:space="preserve"> </w:t>
      </w:r>
    </w:p>
    <w:p>
      <w:pPr>
        <w:pStyle w:val="3"/>
        <w:adjustRightInd w:val="0"/>
        <w:snapToGrid w:val="0"/>
        <w:spacing w:line="540" w:lineRule="exact"/>
        <w:ind w:firstLine="640" w:firstLineChars="200"/>
        <w:rPr>
          <w:rFonts w:hAnsi="Times New Roman" w:cs="Times New Roman"/>
          <w:snapToGrid w:val="0"/>
          <w:kern w:val="32"/>
          <w:sz w:val="32"/>
          <w:szCs w:val="22"/>
        </w:rPr>
      </w:pPr>
    </w:p>
    <w:p>
      <w:pPr>
        <w:pStyle w:val="3"/>
        <w:adjustRightInd w:val="0"/>
        <w:snapToGrid w:val="0"/>
        <w:spacing w:line="540" w:lineRule="exact"/>
        <w:ind w:firstLine="640" w:firstLineChars="200"/>
        <w:rPr>
          <w:rFonts w:hAnsi="Times New Roman" w:cs="Times New Roman"/>
          <w:snapToGrid w:val="0"/>
          <w:kern w:val="32"/>
          <w:sz w:val="32"/>
          <w:szCs w:val="22"/>
        </w:rPr>
      </w:pPr>
    </w:p>
    <w:p>
      <w:pPr>
        <w:pStyle w:val="3"/>
        <w:adjustRightInd w:val="0"/>
        <w:snapToGrid w:val="0"/>
        <w:spacing w:line="540" w:lineRule="exact"/>
        <w:rPr>
          <w:rFonts w:ascii="Times New Roman" w:hAnsi="Times New Roman" w:eastAsia="黑体"/>
          <w:b/>
          <w:snapToGrid w:val="0"/>
          <w:kern w:val="32"/>
          <w:sz w:val="32"/>
        </w:rPr>
      </w:pPr>
      <w:r>
        <w:rPr>
          <w:rFonts w:ascii="Times New Roman" w:hAnsi="Times New Roman" w:eastAsia="黑体"/>
          <w:b/>
          <w:snapToGrid w:val="0"/>
          <w:kern w:val="32"/>
          <w:sz w:val="32"/>
        </w:rPr>
        <w:t xml:space="preserve">3. </w:t>
      </w:r>
      <w:r>
        <w:rPr>
          <w:rFonts w:hint="eastAsia" w:ascii="Times New Roman" w:hAnsi="Times New Roman" w:eastAsia="黑体"/>
          <w:b/>
          <w:snapToGrid w:val="0"/>
          <w:kern w:val="32"/>
          <w:sz w:val="32"/>
        </w:rPr>
        <w:t>刘立明</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刘立明，男，1976年3月生，博士，现在江南大学工作、教授，生物化工专业</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刘立明长期致力于微生物化学品工厂构建和应用的研究工作。主要工作包括：一是探明了微生物碳代谢流调控的分子机制，提出了碳代谢流流向、通量和流速高效调控新策略，解决了如何调控细胞碳代谢流增强细胞工厂合成能力的难题；二是揭示了营养条件、基因特征和细胞寿命影响微生物细胞生长浓度、细胞形态和细胞存亡的生理机制，为提升微生物生长性能提供了新方法；三是阐明了微生物化学品工厂与高强度生产环境的互作应答机制，开发了增强工业环境耐受性的新技术，显著增强了微生物细胞对工业环境的耐受能力。</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以第一或通讯作者身份共发表SCI论文136篇，其中Nat Catal</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1篇，Nat</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Commun</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6篇，Chem</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Rev</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1篇，Angew</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Chem</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Int</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Ed. 3篇，Metab</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Eng</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15篇；出版4本著作和教材，入选“十二五”国家重点图书和江苏省十三五高等学校重点教材；授权中国发明专利105项，专利技术应用于十余家国内外发酵行业知名企业；获国家技术发明二等奖(第3)、教育部科技进步一等奖(第1)、中国石油与化学联合会自然科学、科技进步一等奖(第1)、江苏省自然科学二等奖(第1)；获14篇江苏省优秀博士论文、优秀硕士论文；入选教育部长江学者计划特聘教授、江苏省333工程第一层次人选。</w:t>
      </w:r>
    </w:p>
    <w:p>
      <w:pPr>
        <w:pStyle w:val="3"/>
        <w:adjustRightInd w:val="0"/>
        <w:snapToGrid w:val="0"/>
        <w:spacing w:line="540" w:lineRule="exact"/>
        <w:ind w:firstLine="640" w:firstLineChars="200"/>
        <w:rPr>
          <w:rFonts w:hint="eastAsia" w:hAnsi="Times New Roman" w:cs="Times New Roman"/>
          <w:snapToGrid w:val="0"/>
          <w:kern w:val="32"/>
          <w:sz w:val="32"/>
          <w:szCs w:val="22"/>
        </w:rPr>
      </w:pPr>
    </w:p>
    <w:p>
      <w:pPr>
        <w:pStyle w:val="3"/>
        <w:adjustRightInd w:val="0"/>
        <w:snapToGrid w:val="0"/>
        <w:spacing w:line="540" w:lineRule="exact"/>
        <w:rPr>
          <w:rFonts w:ascii="Times New Roman" w:hAnsi="Times New Roman" w:eastAsia="黑体"/>
          <w:b/>
          <w:snapToGrid w:val="0"/>
          <w:kern w:val="32"/>
          <w:sz w:val="32"/>
        </w:rPr>
      </w:pPr>
      <w:r>
        <w:rPr>
          <w:rFonts w:ascii="Times New Roman" w:hAnsi="Times New Roman" w:eastAsia="黑体"/>
          <w:b/>
          <w:snapToGrid w:val="0"/>
          <w:kern w:val="32"/>
          <w:sz w:val="32"/>
        </w:rPr>
        <w:t xml:space="preserve">4. </w:t>
      </w:r>
      <w:r>
        <w:rPr>
          <w:rFonts w:hint="eastAsia" w:ascii="Times New Roman" w:hAnsi="Times New Roman" w:eastAsia="黑体"/>
          <w:b/>
          <w:snapToGrid w:val="0"/>
          <w:kern w:val="32"/>
          <w:sz w:val="32"/>
        </w:rPr>
        <w:t>薛闯</w:t>
      </w:r>
    </w:p>
    <w:p>
      <w:pPr>
        <w:pStyle w:val="3"/>
        <w:adjustRightInd w:val="0"/>
        <w:snapToGrid w:val="0"/>
        <w:spacing w:line="540" w:lineRule="exact"/>
        <w:rPr>
          <w:rFonts w:hAnsi="Times New Roman" w:cs="Times New Roman"/>
          <w:snapToGrid w:val="0"/>
          <w:kern w:val="32"/>
          <w:sz w:val="32"/>
          <w:szCs w:val="22"/>
        </w:rPr>
      </w:pPr>
      <w:r>
        <w:rPr>
          <w:rFonts w:hint="eastAsia" w:hAnsi="Times New Roman" w:cs="Times New Roman"/>
          <w:snapToGrid w:val="0"/>
          <w:kern w:val="32"/>
          <w:sz w:val="32"/>
          <w:szCs w:val="22"/>
        </w:rPr>
        <w:t>薛闯，男，1982年7月生，博士，现在大连理工大学工作、教授，生物化工专业。</w:t>
      </w:r>
    </w:p>
    <w:p>
      <w:pPr>
        <w:pStyle w:val="3"/>
        <w:adjustRightInd w:val="0"/>
        <w:snapToGrid w:val="0"/>
        <w:spacing w:line="540" w:lineRule="exact"/>
        <w:ind w:firstLine="640" w:firstLineChars="200"/>
        <w:rPr>
          <w:rFonts w:hAnsi="Times New Roman" w:cs="Times New Roman"/>
          <w:snapToGrid w:val="0"/>
          <w:kern w:val="32"/>
          <w:sz w:val="32"/>
          <w:szCs w:val="22"/>
        </w:rPr>
      </w:pPr>
      <w:r>
        <w:rPr>
          <w:rFonts w:hint="eastAsia" w:hAnsi="Times New Roman" w:cs="Times New Roman"/>
          <w:snapToGrid w:val="0"/>
          <w:kern w:val="32"/>
          <w:sz w:val="32"/>
          <w:szCs w:val="22"/>
        </w:rPr>
        <w:t>薛闯长期致力于能源和化学品的生物制造，与中国石化、国投生物等十余家央企、上市公司、民企合作，完成百万立方生物天然气联产提质、30万吨燃料醇和27万吨饲料联产、纤维素酶合成等多个吨、百吨、千吨和万吨级产业化项目，入选“科创中国”新能源技术应用案例。郑裕国院士、陈坚院士为组长的成果鉴定分别评价:“构建了高效新菌株，突破了工艺能效低的瓶颈，总体技术国际先进”、“酒精度等主要指标达到或超过美国先进企业，整体技术国际领先”。</w:t>
      </w:r>
    </w:p>
    <w:p>
      <w:pPr>
        <w:pStyle w:val="3"/>
        <w:adjustRightInd w:val="0"/>
        <w:snapToGrid w:val="0"/>
        <w:spacing w:line="540" w:lineRule="exact"/>
        <w:ind w:firstLine="640" w:firstLineChars="200"/>
        <w:rPr>
          <w:rFonts w:hint="eastAsia" w:ascii="Times New Roman" w:hAnsi="Times New Roman" w:eastAsia="仿宋_GB2312" w:cs="Times New Roman"/>
          <w:b/>
          <w:sz w:val="32"/>
          <w:szCs w:val="32"/>
          <w:lang w:eastAsia="zh-CN"/>
        </w:rPr>
      </w:pPr>
      <w:r>
        <w:rPr>
          <w:rFonts w:hint="eastAsia" w:hAnsi="Times New Roman" w:cs="Times New Roman"/>
          <w:snapToGrid w:val="0"/>
          <w:kern w:val="32"/>
          <w:sz w:val="32"/>
          <w:szCs w:val="22"/>
        </w:rPr>
        <w:t>获中组部“万人计划”领军人才、教育部长江学者奖励计划青年学者等称号，担任国家重点研发计划指南编制专家。SCI期刊Front</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Bioeng</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Biotech</w:t>
      </w:r>
      <w:r>
        <w:rPr>
          <w:rFonts w:hAnsi="Times New Roman" w:cs="Times New Roman"/>
          <w:snapToGrid w:val="0"/>
          <w:kern w:val="32"/>
          <w:sz w:val="32"/>
          <w:szCs w:val="22"/>
        </w:rPr>
        <w:t>nol.</w:t>
      </w:r>
      <w:r>
        <w:rPr>
          <w:rFonts w:hint="eastAsia" w:hAnsi="Times New Roman" w:cs="Times New Roman"/>
          <w:snapToGrid w:val="0"/>
          <w:kern w:val="32"/>
          <w:sz w:val="32"/>
          <w:szCs w:val="22"/>
        </w:rPr>
        <w:t>副主编，在J</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Am</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Chem</w:t>
      </w:r>
      <w:r>
        <w:rPr>
          <w:rFonts w:hAnsi="Times New Roman" w:cs="Times New Roman"/>
          <w:snapToGrid w:val="0"/>
          <w:kern w:val="32"/>
          <w:sz w:val="32"/>
          <w:szCs w:val="22"/>
        </w:rPr>
        <w:t>.</w:t>
      </w:r>
      <w:r>
        <w:rPr>
          <w:rFonts w:hint="eastAsia" w:hAnsi="Times New Roman" w:cs="Times New Roman"/>
          <w:snapToGrid w:val="0"/>
          <w:kern w:val="32"/>
          <w:sz w:val="32"/>
          <w:szCs w:val="22"/>
        </w:rPr>
        <w:t xml:space="preserve"> Soc</w:t>
      </w:r>
      <w:r>
        <w:rPr>
          <w:rFonts w:hAnsi="Times New Roman" w:cs="Times New Roman"/>
          <w:snapToGrid w:val="0"/>
          <w:kern w:val="32"/>
          <w:sz w:val="32"/>
          <w:szCs w:val="22"/>
        </w:rPr>
        <w:t>.</w:t>
      </w:r>
      <w:r>
        <w:rPr>
          <w:rFonts w:hint="eastAsia" w:hAnsi="Times New Roman" w:cs="Times New Roman"/>
          <w:snapToGrid w:val="0"/>
          <w:kern w:val="32"/>
          <w:sz w:val="32"/>
          <w:szCs w:val="22"/>
        </w:rPr>
        <w:t>等发表论文80余篇；授权中国专利22件，美国专利1件，专利许可转化7件，企业转化应用1000余万元。获辽宁省科技进步一等奖（排1）、中国商业联合会科技进步特等奖（排1）、中国可再生能源学会科学技术一等奖（排1）、日内瓦国际发明展金奖（排1）、教育部霍英东青年科学奖、辽宁省自然科学学术成果一等奖（排1）、侯德榜化工青年奖、辽宁省青年科技奖（十大英才）等奖项</w:t>
      </w:r>
      <w:r>
        <w:rPr>
          <w:rFonts w:hint="eastAsia" w:hAnsi="Times New Roman" w:cs="Times New Roman"/>
          <w:snapToGrid w:val="0"/>
          <w:kern w:val="32"/>
          <w:sz w:val="32"/>
          <w:szCs w:val="22"/>
          <w:lang w:eastAsia="zh-CN"/>
        </w:rPr>
        <w:t>。</w:t>
      </w:r>
      <w:bookmarkStart w:id="0" w:name="_GoBack"/>
      <w:bookmarkEnd w:id="0"/>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Book Antiqua">
    <w:panose1 w:val="0204060205030503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364078"/>
    </w:sdtPr>
    <w:sdtContent>
      <w:p>
        <w:pPr>
          <w:pStyle w:val="5"/>
          <w:jc w:val="center"/>
        </w:pPr>
        <w:r>
          <w:rPr>
            <w:rFonts w:hint="eastAsia"/>
          </w:rPr>
          <w:t>-</w:t>
        </w: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12</w:t>
        </w:r>
        <w:r>
          <w:rPr>
            <w:sz w:val="21"/>
            <w:szCs w:val="21"/>
            <w:lang w:val="zh-CN"/>
          </w:rPr>
          <w:fldChar w:fldCharType="end"/>
        </w:r>
        <w:r>
          <w:rPr>
            <w:rFonts w:hint="eastAsia"/>
          </w:rPr>
          <w:t>-</w:t>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B85"/>
    <w:rsid w:val="00001391"/>
    <w:rsid w:val="00006842"/>
    <w:rsid w:val="00012FE4"/>
    <w:rsid w:val="00024F4A"/>
    <w:rsid w:val="00025B9B"/>
    <w:rsid w:val="000260AE"/>
    <w:rsid w:val="00043007"/>
    <w:rsid w:val="00051437"/>
    <w:rsid w:val="00051824"/>
    <w:rsid w:val="00051A6A"/>
    <w:rsid w:val="0005211E"/>
    <w:rsid w:val="000547F2"/>
    <w:rsid w:val="00065773"/>
    <w:rsid w:val="00071A67"/>
    <w:rsid w:val="000864F9"/>
    <w:rsid w:val="00094F41"/>
    <w:rsid w:val="000B786F"/>
    <w:rsid w:val="000C33C9"/>
    <w:rsid w:val="000C56AD"/>
    <w:rsid w:val="000C77CD"/>
    <w:rsid w:val="000D2174"/>
    <w:rsid w:val="000D4CA4"/>
    <w:rsid w:val="000E09D0"/>
    <w:rsid w:val="001117AA"/>
    <w:rsid w:val="00113C7D"/>
    <w:rsid w:val="001176EF"/>
    <w:rsid w:val="001261EE"/>
    <w:rsid w:val="00126AAC"/>
    <w:rsid w:val="00127325"/>
    <w:rsid w:val="001377B2"/>
    <w:rsid w:val="00144079"/>
    <w:rsid w:val="00144853"/>
    <w:rsid w:val="00161992"/>
    <w:rsid w:val="00161EDA"/>
    <w:rsid w:val="001632CB"/>
    <w:rsid w:val="0018325B"/>
    <w:rsid w:val="00192CDD"/>
    <w:rsid w:val="00196D2E"/>
    <w:rsid w:val="001A2EE5"/>
    <w:rsid w:val="001D22AB"/>
    <w:rsid w:val="001D7308"/>
    <w:rsid w:val="001E4072"/>
    <w:rsid w:val="00207B27"/>
    <w:rsid w:val="0021374A"/>
    <w:rsid w:val="00214006"/>
    <w:rsid w:val="002154BC"/>
    <w:rsid w:val="002236D1"/>
    <w:rsid w:val="0025228F"/>
    <w:rsid w:val="0026347B"/>
    <w:rsid w:val="00284E3B"/>
    <w:rsid w:val="00294202"/>
    <w:rsid w:val="002A0798"/>
    <w:rsid w:val="002A32BD"/>
    <w:rsid w:val="002B2546"/>
    <w:rsid w:val="002B2673"/>
    <w:rsid w:val="002B3D9F"/>
    <w:rsid w:val="002B4E9C"/>
    <w:rsid w:val="002C5383"/>
    <w:rsid w:val="002D1259"/>
    <w:rsid w:val="002E10CF"/>
    <w:rsid w:val="002F0ACD"/>
    <w:rsid w:val="002F591B"/>
    <w:rsid w:val="00302A32"/>
    <w:rsid w:val="00330AFF"/>
    <w:rsid w:val="003338C9"/>
    <w:rsid w:val="00335C05"/>
    <w:rsid w:val="00336A23"/>
    <w:rsid w:val="003419EE"/>
    <w:rsid w:val="00354ED7"/>
    <w:rsid w:val="00356645"/>
    <w:rsid w:val="003614CD"/>
    <w:rsid w:val="00363FEA"/>
    <w:rsid w:val="00367B44"/>
    <w:rsid w:val="00370875"/>
    <w:rsid w:val="00372648"/>
    <w:rsid w:val="0037325A"/>
    <w:rsid w:val="00375222"/>
    <w:rsid w:val="003857F7"/>
    <w:rsid w:val="0039227A"/>
    <w:rsid w:val="003B13FE"/>
    <w:rsid w:val="003C05C2"/>
    <w:rsid w:val="003C2BB9"/>
    <w:rsid w:val="003E5319"/>
    <w:rsid w:val="003F130B"/>
    <w:rsid w:val="003F3B51"/>
    <w:rsid w:val="003F5989"/>
    <w:rsid w:val="003F76B1"/>
    <w:rsid w:val="00400196"/>
    <w:rsid w:val="0040368D"/>
    <w:rsid w:val="004205C7"/>
    <w:rsid w:val="0042751E"/>
    <w:rsid w:val="0043250C"/>
    <w:rsid w:val="00443294"/>
    <w:rsid w:val="00466C9F"/>
    <w:rsid w:val="00476C2A"/>
    <w:rsid w:val="00477216"/>
    <w:rsid w:val="004A7FC9"/>
    <w:rsid w:val="004C2D0A"/>
    <w:rsid w:val="004C64AD"/>
    <w:rsid w:val="004C6C88"/>
    <w:rsid w:val="004D2074"/>
    <w:rsid w:val="004D74DB"/>
    <w:rsid w:val="004E461D"/>
    <w:rsid w:val="004F4619"/>
    <w:rsid w:val="00515C04"/>
    <w:rsid w:val="0052208F"/>
    <w:rsid w:val="00525B9C"/>
    <w:rsid w:val="005303D0"/>
    <w:rsid w:val="005350DB"/>
    <w:rsid w:val="00542D6B"/>
    <w:rsid w:val="00551058"/>
    <w:rsid w:val="00570A7B"/>
    <w:rsid w:val="0058325C"/>
    <w:rsid w:val="0058483D"/>
    <w:rsid w:val="00584A26"/>
    <w:rsid w:val="005927B6"/>
    <w:rsid w:val="0059689D"/>
    <w:rsid w:val="005A6DD1"/>
    <w:rsid w:val="005B246B"/>
    <w:rsid w:val="005B48CF"/>
    <w:rsid w:val="005C57E2"/>
    <w:rsid w:val="005C5B9E"/>
    <w:rsid w:val="005C6E70"/>
    <w:rsid w:val="005D1D02"/>
    <w:rsid w:val="005D60FE"/>
    <w:rsid w:val="005F3A7F"/>
    <w:rsid w:val="00604EA3"/>
    <w:rsid w:val="00611B22"/>
    <w:rsid w:val="006149D1"/>
    <w:rsid w:val="00621FD9"/>
    <w:rsid w:val="00623F99"/>
    <w:rsid w:val="00626110"/>
    <w:rsid w:val="00627A8F"/>
    <w:rsid w:val="00630900"/>
    <w:rsid w:val="00631DCB"/>
    <w:rsid w:val="00635B28"/>
    <w:rsid w:val="00641654"/>
    <w:rsid w:val="00642756"/>
    <w:rsid w:val="00646EAF"/>
    <w:rsid w:val="006478BC"/>
    <w:rsid w:val="00660976"/>
    <w:rsid w:val="00673057"/>
    <w:rsid w:val="00674519"/>
    <w:rsid w:val="0067759F"/>
    <w:rsid w:val="00677A46"/>
    <w:rsid w:val="0068658A"/>
    <w:rsid w:val="00690AEA"/>
    <w:rsid w:val="00697CE4"/>
    <w:rsid w:val="006C231D"/>
    <w:rsid w:val="006C27DA"/>
    <w:rsid w:val="006D351C"/>
    <w:rsid w:val="006E19DE"/>
    <w:rsid w:val="006E580D"/>
    <w:rsid w:val="006F3FEC"/>
    <w:rsid w:val="00701FD2"/>
    <w:rsid w:val="00704164"/>
    <w:rsid w:val="0071148B"/>
    <w:rsid w:val="007122E5"/>
    <w:rsid w:val="00716F42"/>
    <w:rsid w:val="007170A1"/>
    <w:rsid w:val="00717836"/>
    <w:rsid w:val="00721551"/>
    <w:rsid w:val="00725F58"/>
    <w:rsid w:val="007330B5"/>
    <w:rsid w:val="00735D26"/>
    <w:rsid w:val="007455FB"/>
    <w:rsid w:val="00755485"/>
    <w:rsid w:val="00755748"/>
    <w:rsid w:val="00756ABC"/>
    <w:rsid w:val="00767423"/>
    <w:rsid w:val="00773EB1"/>
    <w:rsid w:val="00777C9F"/>
    <w:rsid w:val="00781403"/>
    <w:rsid w:val="00786525"/>
    <w:rsid w:val="007938B1"/>
    <w:rsid w:val="00797B85"/>
    <w:rsid w:val="007B077B"/>
    <w:rsid w:val="007B251E"/>
    <w:rsid w:val="007C1F8C"/>
    <w:rsid w:val="007C7AAA"/>
    <w:rsid w:val="007D6F58"/>
    <w:rsid w:val="007E14BD"/>
    <w:rsid w:val="00821157"/>
    <w:rsid w:val="008244CF"/>
    <w:rsid w:val="0083128A"/>
    <w:rsid w:val="00842C7C"/>
    <w:rsid w:val="00844E25"/>
    <w:rsid w:val="00860AE4"/>
    <w:rsid w:val="00866008"/>
    <w:rsid w:val="00866FD1"/>
    <w:rsid w:val="008738A0"/>
    <w:rsid w:val="00873D84"/>
    <w:rsid w:val="008876B8"/>
    <w:rsid w:val="008913DB"/>
    <w:rsid w:val="008A0735"/>
    <w:rsid w:val="008A7FA4"/>
    <w:rsid w:val="008B0D2A"/>
    <w:rsid w:val="008C1F94"/>
    <w:rsid w:val="008C2C1E"/>
    <w:rsid w:val="008C525E"/>
    <w:rsid w:val="008D5906"/>
    <w:rsid w:val="008E0032"/>
    <w:rsid w:val="00907E6D"/>
    <w:rsid w:val="0091299C"/>
    <w:rsid w:val="009177DE"/>
    <w:rsid w:val="009332EA"/>
    <w:rsid w:val="00933F51"/>
    <w:rsid w:val="009355DD"/>
    <w:rsid w:val="009404BC"/>
    <w:rsid w:val="00943E00"/>
    <w:rsid w:val="00951100"/>
    <w:rsid w:val="009524BA"/>
    <w:rsid w:val="00954A90"/>
    <w:rsid w:val="009553E8"/>
    <w:rsid w:val="009558D4"/>
    <w:rsid w:val="00955BC6"/>
    <w:rsid w:val="009617AB"/>
    <w:rsid w:val="0096271E"/>
    <w:rsid w:val="009661DF"/>
    <w:rsid w:val="00971056"/>
    <w:rsid w:val="00984149"/>
    <w:rsid w:val="009856A4"/>
    <w:rsid w:val="00994ABA"/>
    <w:rsid w:val="009A1DD1"/>
    <w:rsid w:val="009A3EC1"/>
    <w:rsid w:val="009C0A7D"/>
    <w:rsid w:val="009C6A76"/>
    <w:rsid w:val="009D46B8"/>
    <w:rsid w:val="009E6712"/>
    <w:rsid w:val="009F7625"/>
    <w:rsid w:val="00A008B5"/>
    <w:rsid w:val="00A011E5"/>
    <w:rsid w:val="00A1488C"/>
    <w:rsid w:val="00A1595B"/>
    <w:rsid w:val="00A60BB1"/>
    <w:rsid w:val="00A62FB2"/>
    <w:rsid w:val="00A81123"/>
    <w:rsid w:val="00A83189"/>
    <w:rsid w:val="00AA1C03"/>
    <w:rsid w:val="00AA4FA9"/>
    <w:rsid w:val="00AA678F"/>
    <w:rsid w:val="00AD6B3C"/>
    <w:rsid w:val="00AE4B5A"/>
    <w:rsid w:val="00AE6324"/>
    <w:rsid w:val="00AF08EA"/>
    <w:rsid w:val="00AF5D19"/>
    <w:rsid w:val="00AF6EF6"/>
    <w:rsid w:val="00B1689B"/>
    <w:rsid w:val="00B16AE3"/>
    <w:rsid w:val="00B202D3"/>
    <w:rsid w:val="00B319F2"/>
    <w:rsid w:val="00B429C1"/>
    <w:rsid w:val="00B4660A"/>
    <w:rsid w:val="00B57421"/>
    <w:rsid w:val="00B65364"/>
    <w:rsid w:val="00B74B71"/>
    <w:rsid w:val="00B77F8E"/>
    <w:rsid w:val="00B907FB"/>
    <w:rsid w:val="00BA4C2F"/>
    <w:rsid w:val="00BB41E2"/>
    <w:rsid w:val="00BB6F64"/>
    <w:rsid w:val="00BB7A98"/>
    <w:rsid w:val="00BC13B5"/>
    <w:rsid w:val="00BC31B8"/>
    <w:rsid w:val="00BD62A3"/>
    <w:rsid w:val="00BF63C8"/>
    <w:rsid w:val="00C0203F"/>
    <w:rsid w:val="00C04C98"/>
    <w:rsid w:val="00C1459E"/>
    <w:rsid w:val="00C14686"/>
    <w:rsid w:val="00C17469"/>
    <w:rsid w:val="00C20E45"/>
    <w:rsid w:val="00C2447D"/>
    <w:rsid w:val="00C35F5C"/>
    <w:rsid w:val="00C4274F"/>
    <w:rsid w:val="00C45CAA"/>
    <w:rsid w:val="00C53735"/>
    <w:rsid w:val="00C5384F"/>
    <w:rsid w:val="00C71CAD"/>
    <w:rsid w:val="00C71D19"/>
    <w:rsid w:val="00C73717"/>
    <w:rsid w:val="00C831F3"/>
    <w:rsid w:val="00CA0639"/>
    <w:rsid w:val="00CA5462"/>
    <w:rsid w:val="00CC5C17"/>
    <w:rsid w:val="00CC63DE"/>
    <w:rsid w:val="00CD4409"/>
    <w:rsid w:val="00CE30CF"/>
    <w:rsid w:val="00CF1298"/>
    <w:rsid w:val="00D1130E"/>
    <w:rsid w:val="00D16749"/>
    <w:rsid w:val="00D21BD7"/>
    <w:rsid w:val="00D26DDC"/>
    <w:rsid w:val="00D307AA"/>
    <w:rsid w:val="00D3269E"/>
    <w:rsid w:val="00D426F2"/>
    <w:rsid w:val="00D43653"/>
    <w:rsid w:val="00D4677D"/>
    <w:rsid w:val="00D46A8C"/>
    <w:rsid w:val="00D555BF"/>
    <w:rsid w:val="00D63BED"/>
    <w:rsid w:val="00D67897"/>
    <w:rsid w:val="00D749C8"/>
    <w:rsid w:val="00D761A0"/>
    <w:rsid w:val="00D9225B"/>
    <w:rsid w:val="00D924A7"/>
    <w:rsid w:val="00D92F45"/>
    <w:rsid w:val="00D94E81"/>
    <w:rsid w:val="00D94F1C"/>
    <w:rsid w:val="00DA3276"/>
    <w:rsid w:val="00DA3D63"/>
    <w:rsid w:val="00DE6F9C"/>
    <w:rsid w:val="00DF43BF"/>
    <w:rsid w:val="00E03F1C"/>
    <w:rsid w:val="00E06545"/>
    <w:rsid w:val="00E112DA"/>
    <w:rsid w:val="00E20D1E"/>
    <w:rsid w:val="00E306A9"/>
    <w:rsid w:val="00E322E7"/>
    <w:rsid w:val="00E623C3"/>
    <w:rsid w:val="00E62A49"/>
    <w:rsid w:val="00E66E39"/>
    <w:rsid w:val="00E673D0"/>
    <w:rsid w:val="00E90F7B"/>
    <w:rsid w:val="00E93B96"/>
    <w:rsid w:val="00EA752F"/>
    <w:rsid w:val="00EC206C"/>
    <w:rsid w:val="00ED4746"/>
    <w:rsid w:val="00EE50C4"/>
    <w:rsid w:val="00EF0E06"/>
    <w:rsid w:val="00EF6750"/>
    <w:rsid w:val="00F031E4"/>
    <w:rsid w:val="00F0328F"/>
    <w:rsid w:val="00F06E74"/>
    <w:rsid w:val="00F06EE8"/>
    <w:rsid w:val="00F07505"/>
    <w:rsid w:val="00F10582"/>
    <w:rsid w:val="00F152B9"/>
    <w:rsid w:val="00F20B5F"/>
    <w:rsid w:val="00F22353"/>
    <w:rsid w:val="00F41A7D"/>
    <w:rsid w:val="00F4692B"/>
    <w:rsid w:val="00F615CA"/>
    <w:rsid w:val="00F62A09"/>
    <w:rsid w:val="00F71453"/>
    <w:rsid w:val="00F804A2"/>
    <w:rsid w:val="00F81615"/>
    <w:rsid w:val="00F84BCF"/>
    <w:rsid w:val="00F91CD8"/>
    <w:rsid w:val="00F949B1"/>
    <w:rsid w:val="00F959DE"/>
    <w:rsid w:val="00FA039E"/>
    <w:rsid w:val="00FA06C4"/>
    <w:rsid w:val="00FA2D9A"/>
    <w:rsid w:val="00FA431D"/>
    <w:rsid w:val="00FB2B85"/>
    <w:rsid w:val="00FD4B4D"/>
    <w:rsid w:val="00FF47AC"/>
    <w:rsid w:val="00FF50E4"/>
    <w:rsid w:val="02C14461"/>
    <w:rsid w:val="0A8C4E97"/>
    <w:rsid w:val="0EE81620"/>
    <w:rsid w:val="173F0769"/>
    <w:rsid w:val="18EB1B72"/>
    <w:rsid w:val="1DC77BD3"/>
    <w:rsid w:val="1E5B0691"/>
    <w:rsid w:val="25AE16DB"/>
    <w:rsid w:val="2D967038"/>
    <w:rsid w:val="2DC83E87"/>
    <w:rsid w:val="32EC015B"/>
    <w:rsid w:val="38C53E0E"/>
    <w:rsid w:val="44DB4683"/>
    <w:rsid w:val="47482C6C"/>
    <w:rsid w:val="4B725405"/>
    <w:rsid w:val="4CAE1ED0"/>
    <w:rsid w:val="65F96ADB"/>
    <w:rsid w:val="67285E3B"/>
    <w:rsid w:val="75950E8A"/>
    <w:rsid w:val="7AC056D6"/>
    <w:rsid w:val="F7FE5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